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66" w:rsidRPr="00DE6F66" w:rsidRDefault="00DE6F66" w:rsidP="00DE6F66">
      <w:pPr>
        <w:spacing w:after="300" w:line="240" w:lineRule="auto"/>
        <w:outlineLvl w:val="1"/>
        <w:rPr>
          <w:rFonts w:ascii="Arial" w:eastAsia="Times New Roman" w:hAnsi="Arial" w:cs="Arial"/>
          <w:color w:val="1F5E00"/>
          <w:sz w:val="36"/>
          <w:szCs w:val="36"/>
          <w:lang w:eastAsia="ru-RU"/>
        </w:rPr>
      </w:pPr>
      <w:r w:rsidRPr="00DE6F66">
        <w:rPr>
          <w:rFonts w:ascii="Arial" w:eastAsia="Times New Roman" w:hAnsi="Arial" w:cs="Arial"/>
          <w:color w:val="1F5E00"/>
          <w:sz w:val="36"/>
          <w:szCs w:val="36"/>
          <w:lang w:eastAsia="ru-RU"/>
        </w:rPr>
        <w:t>Порядок оплаты взносов и квитанции</w:t>
      </w:r>
    </w:p>
    <w:p w:rsidR="00DE6F66" w:rsidRDefault="00DE6F66" w:rsidP="00DE6F66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Далее термин "Членские взносы", подразумевает, в том числе, взносы для граждан, не являющихся членами С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ПК «МЕДИК-ПЛЮС»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.</w:t>
      </w:r>
    </w:p>
    <w:p w:rsidR="00DE6F66" w:rsidRPr="00DE6F66" w:rsidRDefault="00DE6F66" w:rsidP="00DE6F66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Ведение садоводства в границах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СПК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может осуществляться как с участием, так и без участия в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СПК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. Граждане, не имеющие членства в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СПК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 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СПК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за услуги и работы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СПК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по управлению таким имуществом, в полном объеме. Суммарный ежегодный размер платы устанавливается в размере, равном суммарному ежегодному размеру целевых и членских взносов члена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СПК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. Данные положения регламентированы ст.5 ФЗ-217. Так же, в соответствии с действующим законодательством, взносы граждан, не являющихся членами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СПК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, являются прибылью и облагаются налогом (УСН) в размере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4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%.</w:t>
      </w:r>
    </w:p>
    <w:p w:rsidR="00DE6F66" w:rsidRDefault="00DE6F66" w:rsidP="00DE6F66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Членские взносы перечисляются членами С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ПК «МЕДИК-ПЛЮС»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на расчетный счет в банке за каждый календарный год.</w:t>
      </w:r>
    </w:p>
    <w:p w:rsidR="00DE6F66" w:rsidRDefault="00DE6F66" w:rsidP="00DE6F66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В СПК «МЕДИК-ПЛЮС» утверждены, следующие размеры членских взносов:</w:t>
      </w:r>
    </w:p>
    <w:p w:rsidR="00DE6F66" w:rsidRDefault="00DE6F66" w:rsidP="00DE6F66">
      <w:pPr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2015 год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ab/>
        <w:t xml:space="preserve">200,00 рублей за 1 сотку земельного участка </w:t>
      </w:r>
    </w:p>
    <w:p w:rsidR="00DE6F66" w:rsidRDefault="00DE6F66" w:rsidP="00DE6F66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(квадратура, согласно кадастровой выписки)</w:t>
      </w:r>
    </w:p>
    <w:p w:rsidR="00DE6F66" w:rsidRDefault="00DE6F66" w:rsidP="00DE6F66">
      <w:pPr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2016 год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ab/>
        <w:t xml:space="preserve">200,00 рублей за 1 сотку земельного участка </w:t>
      </w:r>
    </w:p>
    <w:p w:rsidR="00DE6F66" w:rsidRPr="00DE6F66" w:rsidRDefault="00DE6F66" w:rsidP="00DE6F66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(квадратура, согласно кадастровой выписки)</w:t>
      </w:r>
    </w:p>
    <w:p w:rsidR="00DE6F66" w:rsidRDefault="00DE6F66" w:rsidP="00DE6F66">
      <w:pPr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2017 год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ab/>
        <w:t xml:space="preserve">200,00 рублей за 1 сотку земельного участка </w:t>
      </w:r>
    </w:p>
    <w:p w:rsidR="00DE6F66" w:rsidRPr="00DE6F66" w:rsidRDefault="00DE6F66" w:rsidP="00DE6F66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(квадратура, согласно кадастровой выписки)</w:t>
      </w:r>
    </w:p>
    <w:p w:rsidR="00DE6F66" w:rsidRDefault="00DE6F66" w:rsidP="00DE6F66">
      <w:pPr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2018 год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ab/>
        <w:t xml:space="preserve">720,00 рублей за 1 сотку земельного участка </w:t>
      </w:r>
    </w:p>
    <w:p w:rsidR="00DE6F66" w:rsidRPr="00DE6F66" w:rsidRDefault="00DE6F66" w:rsidP="00DE6F66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(квадратура, согласно кадастровой выписки)</w:t>
      </w:r>
    </w:p>
    <w:p w:rsidR="00DE6F66" w:rsidRDefault="00DE6F66" w:rsidP="00DE6F66">
      <w:pPr>
        <w:spacing w:after="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2019 год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ab/>
        <w:t xml:space="preserve">200,00 рублей за 1 сотку земельного участка </w:t>
      </w:r>
    </w:p>
    <w:p w:rsidR="00DE6F66" w:rsidRPr="00DE6F66" w:rsidRDefault="00DE6F66" w:rsidP="00DE6F66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(квадратура, согласно кадастровой выписки)</w:t>
      </w:r>
    </w:p>
    <w:p w:rsidR="00DE6F66" w:rsidRPr="00DE6F66" w:rsidRDefault="00DE6F66" w:rsidP="00DE6F66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</w:p>
    <w:p w:rsidR="00DE6F66" w:rsidRPr="00DE6F66" w:rsidRDefault="00DE6F66" w:rsidP="00DE6F66">
      <w:pPr>
        <w:spacing w:before="300" w:after="300" w:line="240" w:lineRule="auto"/>
        <w:outlineLvl w:val="1"/>
        <w:rPr>
          <w:rFonts w:ascii="Arial" w:eastAsia="Times New Roman" w:hAnsi="Arial" w:cs="Arial"/>
          <w:color w:val="1F5E00"/>
          <w:sz w:val="36"/>
          <w:szCs w:val="36"/>
          <w:lang w:eastAsia="ru-RU"/>
        </w:rPr>
      </w:pPr>
      <w:r w:rsidRPr="00DE6F66">
        <w:rPr>
          <w:rFonts w:ascii="Arial" w:eastAsia="Times New Roman" w:hAnsi="Arial" w:cs="Arial"/>
          <w:color w:val="1F5E00"/>
          <w:sz w:val="36"/>
          <w:szCs w:val="36"/>
          <w:lang w:eastAsia="ru-RU"/>
        </w:rPr>
        <w:t>Порядок оплаты взносов с 01.01.2019 г.:</w:t>
      </w:r>
    </w:p>
    <w:p w:rsidR="00DE6F66" w:rsidRPr="00DE6F66" w:rsidRDefault="00DE6F66" w:rsidP="00DE6F66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Членские взносы за текущий календарный год могут быть перечислены как </w:t>
      </w:r>
      <w:proofErr w:type="spellStart"/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единоразово</w:t>
      </w:r>
      <w:proofErr w:type="spellEnd"/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, так и по частям (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за месяц, 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за квартал).</w:t>
      </w:r>
    </w:p>
    <w:p w:rsidR="00DE6F66" w:rsidRPr="00DE6F66" w:rsidRDefault="00DE6F66" w:rsidP="00DE6F66">
      <w:pPr>
        <w:numPr>
          <w:ilvl w:val="0"/>
          <w:numId w:val="1"/>
        </w:numPr>
        <w:spacing w:before="100" w:beforeAutospacing="1" w:after="120" w:line="240" w:lineRule="auto"/>
        <w:ind w:left="450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DE6F6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Оплата за год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- </w:t>
      </w:r>
      <w:r w:rsidRPr="00DE6F6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 xml:space="preserve">не позднее </w:t>
      </w:r>
      <w:r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3</w:t>
      </w:r>
      <w:r w:rsidRPr="00DE6F6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1 ма</w:t>
      </w:r>
      <w:r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я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текущего года;</w:t>
      </w:r>
    </w:p>
    <w:p w:rsidR="00DE6F66" w:rsidRPr="00DE6F66" w:rsidRDefault="00DE6F66" w:rsidP="00DE6F66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В случае неуплаты членом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СПК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членского взноса в срок, установленный решением общего собрания, им уплачиваются пени за время просрочки платежа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. 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Уплата пеней не освобождает члена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СПК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от уплаты членского взноса.</w:t>
      </w:r>
    </w:p>
    <w:p w:rsidR="00DE6F66" w:rsidRPr="00DE6F66" w:rsidRDefault="00DE6F66" w:rsidP="00DE6F66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Граждане, не являющиеся членами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СПК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оплачивают взнос с доплатой налога (УСН)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4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%.</w:t>
      </w:r>
    </w:p>
    <w:p w:rsidR="005C7DDE" w:rsidRPr="00477063" w:rsidRDefault="00DE6F66" w:rsidP="00477063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При оплате членских взносов в обязательном порядке в платежном поручении необходимо </w:t>
      </w:r>
      <w:r w:rsidR="00477063"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указывать</w:t>
      </w:r>
      <w:r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следующие данные:</w:t>
      </w:r>
    </w:p>
    <w:p w:rsidR="00DE6F66" w:rsidRPr="00477063" w:rsidRDefault="00DE6F66" w:rsidP="00477063">
      <w:pPr>
        <w:numPr>
          <w:ilvl w:val="0"/>
          <w:numId w:val="1"/>
        </w:numPr>
        <w:spacing w:before="100" w:beforeAutospacing="1" w:after="120" w:line="240" w:lineRule="auto"/>
        <w:ind w:left="450"/>
        <w:jc w:val="both"/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</w:pPr>
      <w:r w:rsidRPr="00477063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ФИО члена СПК: «Иванов И.И.»</w:t>
      </w:r>
    </w:p>
    <w:p w:rsidR="00DE6F66" w:rsidRPr="00477063" w:rsidRDefault="00DE6F66" w:rsidP="00477063">
      <w:pPr>
        <w:numPr>
          <w:ilvl w:val="0"/>
          <w:numId w:val="1"/>
        </w:numPr>
        <w:spacing w:before="100" w:beforeAutospacing="1" w:after="120" w:line="240" w:lineRule="auto"/>
        <w:ind w:left="450"/>
        <w:jc w:val="both"/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</w:pPr>
      <w:r w:rsidRPr="00477063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Номер участка: «№101»</w:t>
      </w:r>
    </w:p>
    <w:p w:rsidR="00DE6F66" w:rsidRPr="00477063" w:rsidRDefault="00DE6F66" w:rsidP="00477063">
      <w:pPr>
        <w:numPr>
          <w:ilvl w:val="0"/>
          <w:numId w:val="1"/>
        </w:numPr>
        <w:spacing w:before="100" w:beforeAutospacing="1" w:after="120" w:line="240" w:lineRule="auto"/>
        <w:ind w:left="450"/>
        <w:jc w:val="both"/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</w:pPr>
      <w:r w:rsidRPr="00477063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Наименование улицы (перекрестка): «ул. Майская»</w:t>
      </w:r>
    </w:p>
    <w:p w:rsidR="00DE6F66" w:rsidRPr="00477063" w:rsidRDefault="00DE6F66" w:rsidP="00477063">
      <w:pPr>
        <w:numPr>
          <w:ilvl w:val="0"/>
          <w:numId w:val="1"/>
        </w:numPr>
        <w:spacing w:before="100" w:beforeAutospacing="1" w:after="120" w:line="240" w:lineRule="auto"/>
        <w:ind w:left="450"/>
        <w:jc w:val="both"/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</w:pPr>
      <w:r w:rsidRPr="00477063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Наименование вида платежа: «Членский взнос за 2019 год»</w:t>
      </w:r>
    </w:p>
    <w:p w:rsidR="00DE6F66" w:rsidRPr="00477063" w:rsidRDefault="00DE6F66" w:rsidP="00477063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lastRenderedPageBreak/>
        <w:t xml:space="preserve">Так же напоминаем, что уплату может производить только член СПК. В случае если член СПК не может производит платежи по каким-либо причинам, то член СПК должен оформить Доверенность на осуществление платежа на </w:t>
      </w:r>
      <w:r w:rsidR="00477063"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другого</w:t>
      </w:r>
      <w:r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физического лица</w:t>
      </w:r>
      <w:r w:rsidR="00477063"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и предоставить оригинал в Правление для регистрации и отражения в учете.</w:t>
      </w:r>
    </w:p>
    <w:p w:rsidR="00477063" w:rsidRDefault="00477063" w:rsidP="00477063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Платежи, которые поступили не от членов СПК и от физических лиц на которых отсутствует Доверенность от члена СПК будут возвращены обратно плательщику (при наличии реквизитов для возврата) или будут отражены как не выясненные.</w:t>
      </w:r>
    </w:p>
    <w:p w:rsidR="00477063" w:rsidRDefault="00477063" w:rsidP="00477063">
      <w:pPr>
        <w:spacing w:before="300" w:after="300" w:line="240" w:lineRule="auto"/>
        <w:outlineLvl w:val="1"/>
        <w:rPr>
          <w:rFonts w:ascii="Arial" w:eastAsia="Times New Roman" w:hAnsi="Arial" w:cs="Arial"/>
          <w:color w:val="1F5E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F5E00"/>
          <w:sz w:val="36"/>
          <w:szCs w:val="36"/>
          <w:lang w:eastAsia="ru-RU"/>
        </w:rPr>
        <w:t>Долги по уплате членских взносов на 01.10.2019 года</w:t>
      </w:r>
      <w:r w:rsidRPr="00DE6F66">
        <w:rPr>
          <w:rFonts w:ascii="Arial" w:eastAsia="Times New Roman" w:hAnsi="Arial" w:cs="Arial"/>
          <w:color w:val="1F5E00"/>
          <w:sz w:val="36"/>
          <w:szCs w:val="36"/>
          <w:lang w:eastAsia="ru-RU"/>
        </w:rPr>
        <w:t>:</w:t>
      </w:r>
    </w:p>
    <w:tbl>
      <w:tblPr>
        <w:tblW w:w="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100"/>
      </w:tblGrid>
      <w:tr w:rsidR="005C7DDE" w:rsidRPr="005C7DDE" w:rsidTr="005C7DDE">
        <w:trPr>
          <w:trHeight w:val="20"/>
        </w:trPr>
        <w:tc>
          <w:tcPr>
            <w:tcW w:w="1220" w:type="dxa"/>
            <w:shd w:val="clear" w:color="000000" w:fill="E4F0DD"/>
            <w:hideMark/>
          </w:tcPr>
          <w:p w:rsidR="005C7DDE" w:rsidRPr="005C7DDE" w:rsidRDefault="005C7DDE" w:rsidP="005C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color w:val="003F2F"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4100" w:type="dxa"/>
            <w:shd w:val="clear" w:color="000000" w:fill="E4F0DD"/>
            <w:hideMark/>
          </w:tcPr>
          <w:p w:rsidR="005C7DDE" w:rsidRPr="005C7DDE" w:rsidRDefault="005C7DDE" w:rsidP="005C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color w:val="003F2F"/>
                <w:sz w:val="24"/>
                <w:szCs w:val="24"/>
                <w:lang w:eastAsia="ru-RU"/>
              </w:rPr>
              <w:t>Сумма задолженности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032А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10 239,60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10 239,60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10 179,60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10 220,40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10 302,00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045 1/2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6 148,20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047А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6 148,20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048А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2 163,20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7 735,20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049А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049Б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7 383,60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5 687,80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5 687,80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7 640,80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6 339,20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13 830,40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7 383,60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5 555,20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1 932,60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1 932,60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 2/2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7 359,20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7 359,20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127А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5 061,20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132А 2/5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132А 3/5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1/2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8 627,20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10 261,20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615,37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9 702,00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5 538,80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7 465,60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4 344,80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3 661,20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6 475,60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8 914,00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1/2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2/2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5 181,60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4 221,80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8 363,20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8 096,40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1/2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2/2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3 693,20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10 404,00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9 873,60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9 873,60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187,30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187,30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352А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353А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2 301,70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2 301,70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10 363,20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4 270,40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10 669,20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383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1 399,61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1/2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2/2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9 179,60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402А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3 843,60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405А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4 355,40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2 514,40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406А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4 355,40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4 342,80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416А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4 661,20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9 294,00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9 294,00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9 771,60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2 515,60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3 359,20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4 659,60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491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965,20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4 240,80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10 342,80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10 342,80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509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533А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534Б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535А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3 396,00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536А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538 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</w:tr>
      <w:tr w:rsidR="005C7DDE" w:rsidRPr="005C7DDE" w:rsidTr="005C7DDE">
        <w:trPr>
          <w:trHeight w:val="20"/>
        </w:trPr>
        <w:tc>
          <w:tcPr>
            <w:tcW w:w="122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538А     </w:t>
            </w:r>
          </w:p>
        </w:tc>
        <w:tc>
          <w:tcPr>
            <w:tcW w:w="4100" w:type="dxa"/>
            <w:shd w:val="clear" w:color="auto" w:fill="auto"/>
            <w:hideMark/>
          </w:tcPr>
          <w:p w:rsidR="005C7DDE" w:rsidRPr="005C7DDE" w:rsidRDefault="005C7DDE" w:rsidP="005C7DD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10 200,00</w:t>
            </w:r>
          </w:p>
        </w:tc>
      </w:tr>
    </w:tbl>
    <w:p w:rsidR="00477063" w:rsidRDefault="00477063" w:rsidP="00094EFB">
      <w:pPr>
        <w:spacing w:after="300" w:line="240" w:lineRule="auto"/>
        <w:jc w:val="both"/>
        <w:rPr>
          <w:rFonts w:ascii="Arial" w:eastAsia="Times New Roman" w:hAnsi="Arial" w:cs="Arial"/>
          <w:color w:val="1F5E00"/>
          <w:sz w:val="36"/>
          <w:szCs w:val="36"/>
          <w:lang w:eastAsia="ru-RU"/>
        </w:rPr>
      </w:pPr>
    </w:p>
    <w:p w:rsidR="00094EFB" w:rsidRPr="00DE6F66" w:rsidRDefault="00094EFB" w:rsidP="00094EFB">
      <w:pPr>
        <w:spacing w:after="300" w:line="240" w:lineRule="auto"/>
        <w:jc w:val="both"/>
        <w:rPr>
          <w:rFonts w:ascii="Arial" w:eastAsia="Times New Roman" w:hAnsi="Arial" w:cs="Arial"/>
          <w:color w:val="1F5E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F5E00"/>
          <w:sz w:val="36"/>
          <w:szCs w:val="36"/>
          <w:lang w:eastAsia="ru-RU"/>
        </w:rPr>
        <w:t>В случае не погашения задолженности, Правление будет вынуждено начислить пени, в судебном порядке производить взыскание задолженности, поставить вопрос об исключении члена СПК.</w:t>
      </w:r>
      <w:bookmarkStart w:id="0" w:name="_GoBack"/>
      <w:bookmarkEnd w:id="0"/>
    </w:p>
    <w:p w:rsidR="00477063" w:rsidRPr="00477063" w:rsidRDefault="00477063" w:rsidP="00477063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</w:p>
    <w:sectPr w:rsidR="00477063" w:rsidRPr="0047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1357"/>
    <w:multiLevelType w:val="multilevel"/>
    <w:tmpl w:val="6A9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14C7C"/>
    <w:multiLevelType w:val="multilevel"/>
    <w:tmpl w:val="07AA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C2D42"/>
    <w:multiLevelType w:val="hybridMultilevel"/>
    <w:tmpl w:val="65BE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66"/>
    <w:rsid w:val="00094EFB"/>
    <w:rsid w:val="00477063"/>
    <w:rsid w:val="005C7DDE"/>
    <w:rsid w:val="008B6E7D"/>
    <w:rsid w:val="008C7F8D"/>
    <w:rsid w:val="00CB7669"/>
    <w:rsid w:val="00D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6A61"/>
  <w15:chartTrackingRefBased/>
  <w15:docId w15:val="{21B04DCB-1433-4D20-936D-0C09C185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E6F66"/>
  </w:style>
  <w:style w:type="character" w:styleId="a4">
    <w:name w:val="Strong"/>
    <w:basedOn w:val="a0"/>
    <w:uiPriority w:val="22"/>
    <w:qFormat/>
    <w:rsid w:val="00DE6F66"/>
    <w:rPr>
      <w:b/>
      <w:bCs/>
    </w:rPr>
  </w:style>
  <w:style w:type="character" w:styleId="a5">
    <w:name w:val="Hyperlink"/>
    <w:basedOn w:val="a0"/>
    <w:uiPriority w:val="99"/>
    <w:semiHidden/>
    <w:unhideWhenUsed/>
    <w:rsid w:val="00DE6F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2019-10-01T20:19:00Z</dcterms:created>
  <dcterms:modified xsi:type="dcterms:W3CDTF">2019-10-01T20:48:00Z</dcterms:modified>
</cp:coreProperties>
</file>